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20"/>
      </w:pPr>
      <w:r>
        <w:rPr>
          <w:rFonts w:ascii="Calibri" w:hAnsi="Calibri" w:eastAsia="Calibri"/>
          <w:b/>
          <w:color w:val="4B572D"/>
          <w:sz w:val="18"/>
        </w:rPr>
        <w:t>УЧЕТ И КОНТРОЛЬ</w:t>
      </w:r>
    </w:p>
    <w:p>
      <w:pPr>
        <w:keepNext/>
        <w:spacing w:before="0" w:after="160"/>
      </w:pPr>
      <w:r>
        <w:rPr>
          <w:rFonts w:ascii="Calibri" w:hAnsi="Calibri" w:eastAsia="Calibri"/>
          <w:b/>
          <w:color w:val="262F23"/>
          <w:sz w:val="52"/>
        </w:rPr>
        <w:t>Чек-лист бухгалтерии по ЭПД</w:t>
      </w:r>
    </w:p>
    <w:p>
      <w:pPr>
        <w:spacing w:before="0" w:after="360"/>
      </w:pPr>
      <w:r>
        <w:rPr>
          <w:rFonts w:ascii="Calibri" w:hAnsi="Calibri" w:eastAsia="Calibri"/>
          <w:color w:val="555F52"/>
          <w:sz w:val="25"/>
        </w:rPr>
        <w:t>Приемка первичных документов, сверка, архив и готовность к запуску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2700"/>
        <w:gridCol w:w="6660"/>
      </w:tblGrid>
      <w:tr>
        <w:trPr>
          <w:tblHeader w:val="true"/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Поле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Заполните перед использованием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Организация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[наименование]</w:t>
            </w:r>
          </w:p>
        </w:tc>
      </w:tr>
      <w:tr>
        <w:trPr>
          <w:cantSplit w:val="true"/>
        </w:trPr>
        <w:tc>
          <w:tcPr>
            <w:tcW w:type="dxa" w:w="27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Ответственный бухгалтер</w:t>
            </w:r>
          </w:p>
        </w:tc>
        <w:tc>
          <w:tcPr>
            <w:tcW w:type="dxa" w:w="66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[должность, ФИО]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Учетная система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[1С / ERP / другое]</w:t>
            </w:r>
          </w:p>
        </w:tc>
      </w:tr>
      <w:tr>
        <w:trPr>
          <w:cantSplit w:val="true"/>
        </w:trPr>
        <w:tc>
          <w:tcPr>
            <w:tcW w:type="dxa" w:w="27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Оператор ИС ЭПД</w:t>
            </w:r>
          </w:p>
        </w:tc>
        <w:tc>
          <w:tcPr>
            <w:tcW w:type="dxa" w:w="66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[наименование]</w:t>
            </w:r>
          </w:p>
        </w:tc>
      </w:tr>
    </w:tbl>
    <w:p>
      <w:pPr>
        <w:pStyle w:val="Heading2"/>
      </w:pPr>
      <w:r>
        <w:t>Документы и регламент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Определен перечень ЭПД по типам перевозок и договоров.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Согласовано, какой ЭПД подтверждает факт перевозки и какие документы остаются отдельно.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Описаны ответственные за проверку реквизитов до и после рейса.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Установлены правила исправления ошибок и работы с расхождениями.</w:t>
            </w:r>
          </w:p>
        </w:tc>
      </w:tr>
    </w:tbl>
    <w:p>
      <w:pPr>
        <w:pStyle w:val="Heading2"/>
      </w:pPr>
      <w:r>
        <w:t>Интеграция и сверка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Входящий ЭПД находится по ID, номеру рейса или контрагенту.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Статусы и даты корректно передаются в учетную систему.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Нет дублей при повторной доставке статуса или документа.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Проверено сопоставление с заказом, заявкой, реализацией и услугами перевозки.</w:t>
            </w:r>
          </w:p>
        </w:tc>
      </w:tr>
    </w:tbl>
    <w:p>
      <w:pPr>
        <w:pStyle w:val="Heading2"/>
      </w:pPr>
      <w:r>
        <w:t>Архив и доступ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Юридически значимый оригинал доступен в течение установленного срока хранения.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Назначены права доступа и резервный администратор.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Архив позволяет выгрузить документ и историю подписания.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Порядок предоставления документов по запросу контролирующих органов описан.</w:t>
            </w:r>
          </w:p>
        </w:tc>
      </w:tr>
    </w:tbl>
    <w:p>
      <w:pPr>
        <w:pStyle w:val="Heading1"/>
      </w:pPr>
      <w:r>
        <w:t>Контроль перед промышленным запуском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2600"/>
        <w:gridCol w:w="1500"/>
        <w:gridCol w:w="2160"/>
        <w:gridCol w:w="1700"/>
        <w:gridCol w:w="1400"/>
      </w:tblGrid>
      <w:tr>
        <w:trPr>
          <w:tblHeader w:val="true"/>
          <w:cantSplit w:val="true"/>
        </w:trPr>
        <w:tc>
          <w:tcPr>
            <w:tcW w:type="dxa" w:w="2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Проверка</w:t>
            </w:r>
          </w:p>
        </w:tc>
        <w:tc>
          <w:tcPr>
            <w:tcW w:type="dxa" w:w="1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Результат</w:t>
            </w:r>
          </w:p>
        </w:tc>
        <w:tc>
          <w:tcPr>
            <w:tcW w:type="dxa" w:w="21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Блокер</w:t>
            </w:r>
          </w:p>
        </w:tc>
        <w:tc>
          <w:tcPr>
            <w:tcW w:type="dxa" w:w="1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Владелец</w:t>
            </w:r>
          </w:p>
        </w:tc>
        <w:tc>
          <w:tcPr>
            <w:tcW w:type="dxa" w:w="1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Срок</w:t>
            </w:r>
          </w:p>
        </w:tc>
      </w:tr>
      <w:tr>
        <w:trPr>
          <w:cantSplit w:val="true"/>
        </w:trPr>
        <w:tc>
          <w:tcPr>
            <w:tcW w:type="dxa" w:w="2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Полный пилотный рейс</w:t>
            </w:r>
          </w:p>
        </w:tc>
        <w:tc>
          <w:tcPr>
            <w:tcW w:type="dxa" w:w="1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 / нет]</w:t>
            </w:r>
          </w:p>
        </w:tc>
        <w:tc>
          <w:tcPr>
            <w:tcW w:type="dxa" w:w="21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[описание]</w:t>
            </w:r>
          </w:p>
        </w:tc>
        <w:tc>
          <w:tcPr>
            <w:tcW w:type="dxa" w:w="1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1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</w:tr>
      <w:tr>
        <w:trPr>
          <w:cantSplit w:val="true"/>
        </w:trPr>
        <w:tc>
          <w:tcPr>
            <w:tcW w:type="dxa" w:w="2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Получение в учете</w:t>
            </w:r>
          </w:p>
        </w:tc>
        <w:tc>
          <w:tcPr>
            <w:tcW w:type="dxa" w:w="15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 / нет]</w:t>
            </w:r>
          </w:p>
        </w:tc>
        <w:tc>
          <w:tcPr>
            <w:tcW w:type="dxa" w:w="21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[описание]</w:t>
            </w:r>
          </w:p>
        </w:tc>
        <w:tc>
          <w:tcPr>
            <w:tcW w:type="dxa" w:w="17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14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</w:tr>
      <w:tr>
        <w:trPr>
          <w:cantSplit w:val="true"/>
        </w:trPr>
        <w:tc>
          <w:tcPr>
            <w:tcW w:type="dxa" w:w="2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Сверка реквизитов</w:t>
            </w:r>
          </w:p>
        </w:tc>
        <w:tc>
          <w:tcPr>
            <w:tcW w:type="dxa" w:w="1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 / нет]</w:t>
            </w:r>
          </w:p>
        </w:tc>
        <w:tc>
          <w:tcPr>
            <w:tcW w:type="dxa" w:w="21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[описание]</w:t>
            </w:r>
          </w:p>
        </w:tc>
        <w:tc>
          <w:tcPr>
            <w:tcW w:type="dxa" w:w="1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1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</w:tr>
      <w:tr>
        <w:trPr>
          <w:cantSplit w:val="true"/>
        </w:trPr>
        <w:tc>
          <w:tcPr>
            <w:tcW w:type="dxa" w:w="2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Доступ к архиву</w:t>
            </w:r>
          </w:p>
        </w:tc>
        <w:tc>
          <w:tcPr>
            <w:tcW w:type="dxa" w:w="15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 / нет]</w:t>
            </w:r>
          </w:p>
        </w:tc>
        <w:tc>
          <w:tcPr>
            <w:tcW w:type="dxa" w:w="21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[описание]</w:t>
            </w:r>
          </w:p>
        </w:tc>
        <w:tc>
          <w:tcPr>
            <w:tcW w:type="dxa" w:w="17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14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</w:tr>
      <w:tr>
        <w:trPr>
          <w:cantSplit w:val="true"/>
        </w:trPr>
        <w:tc>
          <w:tcPr>
            <w:tcW w:type="dxa" w:w="2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Резервный порядок</w:t>
            </w:r>
          </w:p>
        </w:tc>
        <w:tc>
          <w:tcPr>
            <w:tcW w:type="dxa" w:w="1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 / нет]</w:t>
            </w:r>
          </w:p>
        </w:tc>
        <w:tc>
          <w:tcPr>
            <w:tcW w:type="dxa" w:w="21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[описание]</w:t>
            </w:r>
          </w:p>
        </w:tc>
        <w:tc>
          <w:tcPr>
            <w:tcW w:type="dxa" w:w="1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1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</w:tr>
    </w:tbl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9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555F52"/>
                <w:sz w:val="18"/>
              </w:rPr>
              <w:t>Важно: адаптируйте шаблон под договоры, роли и локальные акты вашей организации. Материал не является юридической консультацией.</w:t>
            </w:r>
          </w:p>
        </w:tc>
      </w:tr>
    </w:tbl>
    <w:sectPr>
      <w:headerReference w:type="default" r:id="rId9"/>
      <w:footerReference w:type="default" r:id="rId10"/>
      <w:pgSz w:w="12240" w:h="15840"/>
      <w:pgMar w:top="1123" w:right="1440" w:bottom="1123" w:left="144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dxa" w:w="9360"/>
      <w:jc w:val="left"/>
      <w:tblLayout w:type="fixed"/>
      <w:tblLook w:firstColumn="1" w:firstRow="1" w:lastColumn="0" w:lastRow="0" w:noHBand="0" w:noVBand="1" w:val="04A0"/>
      <w:tblInd w:w="120" w:type="dxa"/>
    </w:tblPr>
    <w:tblGrid>
      <w:gridCol w:w="6200"/>
      <w:gridCol w:w="3160"/>
    </w:tblGrid>
    <w:tr>
      <w:tc>
        <w:tcPr>
          <w:tcW w:type="dxa" w:w="6200"/>
          <w:vAlign w:val="center"/>
          <w:tcMar>
            <w:top w:w="100" w:type="dxa"/>
            <w:start w:w="120" w:type="dxa"/>
            <w:bottom w:w="100" w:type="dxa"/>
            <w:end w:w="120" w:type="dxa"/>
          </w:tcMar>
        </w:tcPr>
        <w:p>
          <w:pPr>
            <w:spacing w:before="0" w:after="0" w:line="276" w:lineRule="auto"/>
            <w:jc w:val="left"/>
          </w:pPr>
          <w:r/>
          <w:r>
            <w:rPr>
              <w:rFonts w:ascii="Calibri" w:hAnsi="Calibri" w:eastAsia="Calibri"/>
              <w:b w:val="0"/>
              <w:color w:val="555F52"/>
              <w:sz w:val="16"/>
            </w:rPr>
            <w:t>epdcheck.ru  |  Актуально на 18.07.2026</w:t>
          </w:r>
        </w:p>
      </w:tc>
      <w:tc>
        <w:tcPr>
          <w:tcW w:type="dxa" w:w="3160"/>
          <w:vAlign w:val="center"/>
          <w:tcMar>
            <w:top w:w="100" w:type="dxa"/>
            <w:start w:w="120" w:type="dxa"/>
            <w:bottom w:w="100" w:type="dxa"/>
            <w:end w:w="120" w:type="dxa"/>
          </w:tcMar>
        </w:tcPr>
        <w:p>
          <w:pPr>
            <w:jc w:val="right"/>
          </w:pPr>
          <w:r>
            <w:rPr>
              <w:rFonts w:ascii="Calibri" w:hAnsi="Calibri" w:eastAsia="Calibri"/>
              <w:color w:val="555F52"/>
              <w:sz w:val="17"/>
            </w:rPr>
            <w:t xml:space="preserve">Страница </w:t>
          </w:r>
          <w:r>
            <w:rPr>
              <w:rFonts w:ascii="Calibri" w:hAnsi="Calibri" w:eastAsia="Calibri"/>
              <w:color w:val="555F52"/>
              <w:sz w:val="17"/>
            </w:rP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 w:eastAsia="Calibri"/>
        <w:b/>
        <w:color w:val="555F52"/>
        <w:sz w:val="17"/>
      </w:rPr>
      <w:t>ЭПД Чек  |  Рабочий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262F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4B572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4B572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262F2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бухгалтерии по ЭПД</dc:title>
  <dc:subject>Шаблон для подготовки к переходу на электронные перевозочные документы</dc:subject>
  <dc:creator/>
  <cp:keywords>ЭПД, ЭТрН, ГИС ЭПД, шаблон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