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120"/>
      </w:pPr>
      <w:r>
        <w:rPr>
          <w:rFonts w:ascii="Calibri" w:hAnsi="Calibri" w:eastAsia="Calibri"/>
          <w:b/>
          <w:color w:val="4B572D"/>
          <w:sz w:val="18"/>
        </w:rPr>
        <w:t>ПАМЯТКА В РЕЙС</w:t>
      </w:r>
    </w:p>
    <w:p>
      <w:pPr>
        <w:keepNext/>
        <w:spacing w:before="0" w:after="160"/>
      </w:pPr>
      <w:r>
        <w:rPr>
          <w:rFonts w:ascii="Calibri" w:hAnsi="Calibri" w:eastAsia="Calibri"/>
          <w:b/>
          <w:color w:val="262F23"/>
          <w:sz w:val="52"/>
        </w:rPr>
        <w:t>Чек-лист водителя по ЭПД</w:t>
      </w:r>
    </w:p>
    <w:p>
      <w:pPr>
        <w:spacing w:before="0" w:after="360"/>
      </w:pPr>
      <w:r>
        <w:rPr>
          <w:rFonts w:ascii="Calibri" w:hAnsi="Calibri" w:eastAsia="Calibri"/>
          <w:color w:val="555F52"/>
          <w:sz w:val="25"/>
        </w:rPr>
        <w:t>Что проверить до выезда, на погрузке, в пути и при выгрузке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</w:tblPr>
      <w:tblGrid>
        <w:gridCol w:w="2700"/>
        <w:gridCol w:w="6660"/>
      </w:tblGrid>
      <w:tr>
        <w:trPr>
          <w:tblHeader w:val="true"/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Поле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Заполните перед использованием</w:t>
            </w:r>
          </w:p>
        </w:tc>
      </w:tr>
      <w:tr>
        <w:trPr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Организация / подразделение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[наименование]</w:t>
            </w:r>
          </w:p>
        </w:tc>
      </w:tr>
      <w:tr>
        <w:trPr>
          <w:cantSplit w:val="true"/>
        </w:trPr>
        <w:tc>
          <w:tcPr>
            <w:tcW w:type="dxa" w:w="27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Служба поддержки</w:t>
            </w:r>
          </w:p>
        </w:tc>
        <w:tc>
          <w:tcPr>
            <w:tcW w:type="dxa" w:w="66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[телефон, рабочие часы]</w:t>
            </w:r>
          </w:p>
        </w:tc>
      </w:tr>
      <w:tr>
        <w:trPr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Приложение / способ доступа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[название и инструкция входа]</w:t>
            </w:r>
          </w:p>
        </w:tc>
      </w:tr>
    </w:tbl>
    <w:p>
      <w:pPr>
        <w:pStyle w:val="Heading2"/>
      </w:pPr>
      <w:r>
        <w:t>До выезда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600"/>
        <w:gridCol w:w="8760"/>
      </w:tblGrid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Телефон заряжен, приложение открывается, доступ подтвержден.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Получен QR-код ЭПД; при слабой связи код сохранен на телефоне или распечатан.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ФИО, автомобиль, прицеп и маршрут указаны верно.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Известен номер поддержки и порядок эскалации.</w:t>
            </w:r>
          </w:p>
        </w:tc>
      </w:tr>
    </w:tbl>
    <w:p>
      <w:pPr>
        <w:pStyle w:val="Heading2"/>
      </w:pPr>
      <w:r>
        <w:t>На погрузке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600"/>
        <w:gridCol w:w="8760"/>
      </w:tblGrid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Сверить груз, количество мест и видимые повреждения.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Не подтверждать этап при расхождении сведений - сообщить ответственному.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Убедиться, что нужный этап ЭПД принят системой.</w:t>
            </w:r>
          </w:p>
        </w:tc>
      </w:tr>
    </w:tbl>
    <w:p>
      <w:pPr>
        <w:pStyle w:val="Heading2"/>
      </w:pPr>
      <w:r>
        <w:t>В пути и при проверке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600"/>
        <w:gridCol w:w="8760"/>
      </w:tblGrid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По требованию инспектора предъявить QR-код на экране или распечатке.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Не отправлять QR-код посторонним лицам и не публиковать его в открытых чатах.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При отсутствии связи использовать заранее сохраненный код и сообщить диспетчеру.</w:t>
            </w:r>
          </w:p>
        </w:tc>
      </w:tr>
    </w:tbl>
    <w:p>
      <w:pPr>
        <w:pStyle w:val="Heading2"/>
      </w:pPr>
      <w:r>
        <w:t>На выгрузке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600"/>
        <w:gridCol w:w="8760"/>
      </w:tblGrid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Сверить получателя, адрес и фактическое состояние груза.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Зафиксировать расхождения до подтверждения приемки.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Дождаться подтверждения завершения своего этапа.</w:t>
            </w:r>
          </w:p>
        </w:tc>
      </w:tr>
    </w:tbl>
    <w:p>
      <w:pPr>
        <w:pStyle w:val="Heading2"/>
      </w:pPr>
      <w:r>
        <w:t>Если что-то не работает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600"/>
        <w:gridCol w:w="8760"/>
      </w:tblGrid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Сделать скрин сообщения об ошибке и записать время.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Позвонить диспетчеру / ответственному по указанному номеру.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Не придумывать обходной порядок самостоятельно; действовать по регламенту организации.</w:t>
            </w:r>
          </w:p>
        </w:tc>
      </w:tr>
    </w:tbl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9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555F52"/>
                <w:sz w:val="18"/>
              </w:rPr>
              <w:t>Важно: адаптируйте шаблон под договоры, роли и локальные акты вашей организации. Материал не является юридической консультацией.</w:t>
            </w:r>
          </w:p>
        </w:tc>
      </w:tr>
    </w:tbl>
    <w:sectPr>
      <w:headerReference w:type="default" r:id="rId9"/>
      <w:footerReference w:type="default" r:id="rId10"/>
      <w:pgSz w:w="12240" w:h="15840"/>
      <w:pgMar w:top="1123" w:right="1440" w:bottom="1123" w:left="144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dxa" w:w="9360"/>
      <w:jc w:val="left"/>
      <w:tblLayout w:type="fixed"/>
      <w:tblLook w:firstColumn="1" w:firstRow="1" w:lastColumn="0" w:lastRow="0" w:noHBand="0" w:noVBand="1" w:val="04A0"/>
      <w:tblInd w:w="120" w:type="dxa"/>
    </w:tblPr>
    <w:tblGrid>
      <w:gridCol w:w="6200"/>
      <w:gridCol w:w="3160"/>
    </w:tblGrid>
    <w:tr>
      <w:tc>
        <w:tcPr>
          <w:tcW w:type="dxa" w:w="6200"/>
          <w:vAlign w:val="center"/>
          <w:tcMar>
            <w:top w:w="100" w:type="dxa"/>
            <w:start w:w="120" w:type="dxa"/>
            <w:bottom w:w="100" w:type="dxa"/>
            <w:end w:w="120" w:type="dxa"/>
          </w:tcMar>
        </w:tcPr>
        <w:p>
          <w:pPr>
            <w:spacing w:before="0" w:after="0" w:line="276" w:lineRule="auto"/>
            <w:jc w:val="left"/>
          </w:pPr>
          <w:r/>
          <w:r>
            <w:rPr>
              <w:rFonts w:ascii="Calibri" w:hAnsi="Calibri" w:eastAsia="Calibri"/>
              <w:b w:val="0"/>
              <w:color w:val="555F52"/>
              <w:sz w:val="16"/>
            </w:rPr>
            <w:t>epdcheck.ru  |  Актуально на 18.07.2026</w:t>
          </w:r>
        </w:p>
      </w:tc>
      <w:tc>
        <w:tcPr>
          <w:tcW w:type="dxa" w:w="3160"/>
          <w:vAlign w:val="center"/>
          <w:tcMar>
            <w:top w:w="100" w:type="dxa"/>
            <w:start w:w="120" w:type="dxa"/>
            <w:bottom w:w="100" w:type="dxa"/>
            <w:end w:w="120" w:type="dxa"/>
          </w:tcMar>
        </w:tcPr>
        <w:p>
          <w:pPr>
            <w:jc w:val="right"/>
          </w:pPr>
          <w:r>
            <w:rPr>
              <w:rFonts w:ascii="Calibri" w:hAnsi="Calibri" w:eastAsia="Calibri"/>
              <w:color w:val="555F52"/>
              <w:sz w:val="17"/>
            </w:rPr>
            <w:t xml:space="preserve">Страница </w:t>
          </w:r>
          <w:r>
            <w:rPr>
              <w:rFonts w:ascii="Calibri" w:hAnsi="Calibri" w:eastAsia="Calibri"/>
              <w:color w:val="555F52"/>
              <w:sz w:val="17"/>
            </w:rP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 w:eastAsia="Calibri"/>
        <w:b/>
        <w:color w:val="555F52"/>
        <w:sz w:val="17"/>
      </w:rPr>
      <w:t>ЭПД Чек  |  Рабочий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262F2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4B572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4B572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262F2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 водителя по ЭПД</dc:title>
  <dc:subject>Шаблон для подготовки к переходу на электронные перевозочные документы</dc:subject>
  <dc:creator/>
  <cp:keywords>ЭПД, ЭТрН, ГИС ЭПД, шаблон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