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20"/>
      </w:pPr>
      <w:r>
        <w:rPr>
          <w:rFonts w:ascii="Calibri" w:hAnsi="Calibri" w:eastAsia="Calibri"/>
          <w:b/>
          <w:color w:val="4B572D"/>
          <w:sz w:val="18"/>
        </w:rPr>
        <w:t>ПРОВЕРКА ПРОЦЕССА</w:t>
      </w:r>
    </w:p>
    <w:p>
      <w:pPr>
        <w:keepNext/>
        <w:spacing w:before="0" w:after="160"/>
      </w:pPr>
      <w:r>
        <w:rPr>
          <w:rFonts w:ascii="Calibri" w:hAnsi="Calibri" w:eastAsia="Calibri"/>
          <w:b/>
          <w:color w:val="262F23"/>
          <w:sz w:val="52"/>
        </w:rPr>
        <w:t>Сценарий тестового рейса ЭПД</w:t>
      </w:r>
    </w:p>
    <w:p>
      <w:pPr>
        <w:spacing w:before="0" w:after="360"/>
      </w:pPr>
      <w:r>
        <w:rPr>
          <w:rFonts w:ascii="Calibri" w:hAnsi="Calibri" w:eastAsia="Calibri"/>
          <w:color w:val="555F52"/>
          <w:sz w:val="25"/>
        </w:rPr>
        <w:t>Полный маршрут от создания документа до приемки и архива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2700"/>
        <w:gridCol w:w="6660"/>
      </w:tblGrid>
      <w:tr>
        <w:trPr>
          <w:tblHeader w:val="true"/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Поле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9"/>
              </w:rPr>
              <w:t>Заполните перед использованием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Маршрут и груз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[откуда - куда; краткое описание груза]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Участники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[грузоотправитель, перевозчик, грузополучатель, экспедитор]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Оператор(ы) ИС ЭПД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[наименования и роуминг]</w:t>
            </w:r>
          </w:p>
        </w:tc>
      </w:tr>
      <w:tr>
        <w:trPr>
          <w:cantSplit w:val="true"/>
        </w:trPr>
        <w:tc>
          <w:tcPr>
            <w:tcW w:type="dxa" w:w="27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Дата и время пилота</w:t>
            </w:r>
          </w:p>
        </w:tc>
        <w:tc>
          <w:tcPr>
            <w:tcW w:type="dxa" w:w="66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[дата, окно проведения]</w:t>
            </w:r>
          </w:p>
        </w:tc>
      </w:tr>
      <w:tr>
        <w:trPr>
          <w:cantSplit w:val="true"/>
        </w:trPr>
        <w:tc>
          <w:tcPr>
            <w:tcW w:type="dxa" w:w="27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Критичный контакт</w:t>
            </w:r>
          </w:p>
        </w:tc>
        <w:tc>
          <w:tcPr>
            <w:tcW w:type="dxa" w:w="66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9"/>
              </w:rPr>
              <w:t>[ФИО, телефон]</w:t>
            </w:r>
          </w:p>
        </w:tc>
      </w:tr>
    </w:tbl>
    <w:p>
      <w:pPr>
        <w:pStyle w:val="Heading2"/>
      </w:pPr>
      <w:r>
        <w:t>Готовность до старта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Роли и ИНН всех участников проверены.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КЭП и МЧД подписантов действуют.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Водитель имеет доступ к приложению или QR-коду.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Справочники транспорта, водителей и адресов заполнены.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Контрагенты подтвердили участие в выбранном окне.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Назначен канал оперативной связи на время пилота.</w:t>
            </w:r>
          </w:p>
        </w:tc>
      </w:tr>
    </w:tbl>
    <w:p>
      <w:pPr>
        <w:pStyle w:val="Heading1"/>
      </w:pPr>
      <w:r>
        <w:t>Последовательность рейса</w:t>
      </w:r>
    </w:p>
    <w:tbl>
      <w:tblPr>
        <w:tblStyle w:val="TableGrid"/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620"/>
        <w:gridCol w:w="2400"/>
        <w:gridCol w:w="1650"/>
        <w:gridCol w:w="2200"/>
        <w:gridCol w:w="1500"/>
        <w:gridCol w:w="990"/>
      </w:tblGrid>
      <w:tr>
        <w:trPr>
          <w:tblHeader w:val="true"/>
          <w:cantSplit w:val="true"/>
        </w:trPr>
        <w:tc>
          <w:tcPr>
            <w:tcW w:type="dxa" w:w="6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Шаг</w:t>
            </w:r>
          </w:p>
        </w:tc>
        <w:tc>
          <w:tcPr>
            <w:tcW w:type="dxa" w:w="2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Действие</w:t>
            </w:r>
          </w:p>
        </w:tc>
        <w:tc>
          <w:tcPr>
            <w:tcW w:type="dxa" w:w="1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Ответственный</w:t>
            </w:r>
          </w:p>
        </w:tc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Ожидаемый результат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Доказательство</w:t>
            </w:r>
          </w:p>
        </w:tc>
        <w:tc>
          <w:tcPr>
            <w:tcW w:type="dxa" w:w="9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3E7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/>
                <w:color w:val="262F23"/>
                <w:sz w:val="18"/>
              </w:rPr>
              <w:t>Факт</w:t>
            </w:r>
          </w:p>
        </w:tc>
      </w:tr>
      <w:tr>
        <w:trPr>
          <w:cantSplit w:val="true"/>
        </w:trPr>
        <w:tc>
          <w:tcPr>
            <w:tcW w:type="dxa" w:w="6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1</w:t>
            </w:r>
          </w:p>
        </w:tc>
        <w:tc>
          <w:tcPr>
            <w:tcW w:type="dxa" w:w="2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Создать черновик ЭТрН</w:t>
            </w:r>
          </w:p>
        </w:tc>
        <w:tc>
          <w:tcPr>
            <w:tcW w:type="dxa" w:w="1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Грузоотправитель</w:t>
            </w:r>
          </w:p>
        </w:tc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Документ создан без ошибок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Скрин / ID</w:t>
            </w:r>
          </w:p>
        </w:tc>
        <w:tc>
          <w:tcPr>
            <w:tcW w:type="dxa" w:w="9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  <w:tr>
        <w:trPr>
          <w:cantSplit w:val="true"/>
        </w:trPr>
        <w:tc>
          <w:tcPr>
            <w:tcW w:type="dxa" w:w="6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2</w:t>
            </w:r>
          </w:p>
        </w:tc>
        <w:tc>
          <w:tcPr>
            <w:tcW w:type="dxa" w:w="2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Проверить груз, маршрут и участников</w:t>
            </w:r>
          </w:p>
        </w:tc>
        <w:tc>
          <w:tcPr>
            <w:tcW w:type="dxa" w:w="1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Логистика</w:t>
            </w:r>
          </w:p>
        </w:tc>
        <w:tc>
          <w:tcPr>
            <w:tcW w:type="dxa" w:w="2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Сведения совпадают с заявкой</w:t>
            </w:r>
          </w:p>
        </w:tc>
        <w:tc>
          <w:tcPr>
            <w:tcW w:type="dxa" w:w="1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Отметка</w:t>
            </w:r>
          </w:p>
        </w:tc>
        <w:tc>
          <w:tcPr>
            <w:tcW w:type="dxa" w:w="99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  <w:tr>
        <w:trPr>
          <w:cantSplit w:val="true"/>
        </w:trPr>
        <w:tc>
          <w:tcPr>
            <w:tcW w:type="dxa" w:w="6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3</w:t>
            </w:r>
          </w:p>
        </w:tc>
        <w:tc>
          <w:tcPr>
            <w:tcW w:type="dxa" w:w="2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Подписать титул отправителя</w:t>
            </w:r>
          </w:p>
        </w:tc>
        <w:tc>
          <w:tcPr>
            <w:tcW w:type="dxa" w:w="1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Подписант ГО</w:t>
            </w:r>
          </w:p>
        </w:tc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Подпись принята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Статус</w:t>
            </w:r>
          </w:p>
        </w:tc>
        <w:tc>
          <w:tcPr>
            <w:tcW w:type="dxa" w:w="9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  <w:tr>
        <w:trPr>
          <w:cantSplit w:val="true"/>
        </w:trPr>
        <w:tc>
          <w:tcPr>
            <w:tcW w:type="dxa" w:w="6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4</w:t>
            </w:r>
          </w:p>
        </w:tc>
        <w:tc>
          <w:tcPr>
            <w:tcW w:type="dxa" w:w="2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Принять груз к перевозке</w:t>
            </w:r>
          </w:p>
        </w:tc>
        <w:tc>
          <w:tcPr>
            <w:tcW w:type="dxa" w:w="1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Перевозчик / водитель</w:t>
            </w:r>
          </w:p>
        </w:tc>
        <w:tc>
          <w:tcPr>
            <w:tcW w:type="dxa" w:w="2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Этап зафиксирован</w:t>
            </w:r>
          </w:p>
        </w:tc>
        <w:tc>
          <w:tcPr>
            <w:tcW w:type="dxa" w:w="1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Статус</w:t>
            </w:r>
          </w:p>
        </w:tc>
        <w:tc>
          <w:tcPr>
            <w:tcW w:type="dxa" w:w="99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  <w:tr>
        <w:trPr>
          <w:cantSplit w:val="true"/>
        </w:trPr>
        <w:tc>
          <w:tcPr>
            <w:tcW w:type="dxa" w:w="6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5</w:t>
            </w:r>
          </w:p>
        </w:tc>
        <w:tc>
          <w:tcPr>
            <w:tcW w:type="dxa" w:w="2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Проверить QR-код</w:t>
            </w:r>
          </w:p>
        </w:tc>
        <w:tc>
          <w:tcPr>
            <w:tcW w:type="dxa" w:w="1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Водитель</w:t>
            </w:r>
          </w:p>
        </w:tc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Код открывается без ошибок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Фото / скрин</w:t>
            </w:r>
          </w:p>
        </w:tc>
        <w:tc>
          <w:tcPr>
            <w:tcW w:type="dxa" w:w="9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  <w:tr>
        <w:trPr>
          <w:cantSplit w:val="true"/>
        </w:trPr>
        <w:tc>
          <w:tcPr>
            <w:tcW w:type="dxa" w:w="6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6</w:t>
            </w:r>
          </w:p>
        </w:tc>
        <w:tc>
          <w:tcPr>
            <w:tcW w:type="dxa" w:w="2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Зафиксировать приемку</w:t>
            </w:r>
          </w:p>
        </w:tc>
        <w:tc>
          <w:tcPr>
            <w:tcW w:type="dxa" w:w="1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Грузополучатель</w:t>
            </w:r>
          </w:p>
        </w:tc>
        <w:tc>
          <w:tcPr>
            <w:tcW w:type="dxa" w:w="2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Количество и состояние указаны</w:t>
            </w:r>
          </w:p>
        </w:tc>
        <w:tc>
          <w:tcPr>
            <w:tcW w:type="dxa" w:w="1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Статус</w:t>
            </w:r>
          </w:p>
        </w:tc>
        <w:tc>
          <w:tcPr>
            <w:tcW w:type="dxa" w:w="99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  <w:tr>
        <w:trPr>
          <w:cantSplit w:val="true"/>
        </w:trPr>
        <w:tc>
          <w:tcPr>
            <w:tcW w:type="dxa" w:w="6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7</w:t>
            </w:r>
          </w:p>
        </w:tc>
        <w:tc>
          <w:tcPr>
            <w:tcW w:type="dxa" w:w="24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Завершить документ</w:t>
            </w:r>
          </w:p>
        </w:tc>
        <w:tc>
          <w:tcPr>
            <w:tcW w:type="dxa" w:w="165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Перевозчик</w:t>
            </w:r>
          </w:p>
        </w:tc>
        <w:tc>
          <w:tcPr>
            <w:tcW w:type="dxa" w:w="22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Все обязательные титулы подписаны</w:t>
            </w:r>
          </w:p>
        </w:tc>
        <w:tc>
          <w:tcPr>
            <w:tcW w:type="dxa" w:w="15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ID ЭПД</w:t>
            </w:r>
          </w:p>
        </w:tc>
        <w:tc>
          <w:tcPr>
            <w:tcW w:type="dxa" w:w="99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  <w:tr>
        <w:trPr>
          <w:cantSplit w:val="true"/>
        </w:trPr>
        <w:tc>
          <w:tcPr>
            <w:tcW w:type="dxa" w:w="62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8</w:t>
            </w:r>
          </w:p>
        </w:tc>
        <w:tc>
          <w:tcPr>
            <w:tcW w:type="dxa" w:w="24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Получить документ в учете и архиве</w:t>
            </w:r>
          </w:p>
        </w:tc>
        <w:tc>
          <w:tcPr>
            <w:tcW w:type="dxa" w:w="165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Бухгалтерия</w:t>
            </w:r>
          </w:p>
        </w:tc>
        <w:tc>
          <w:tcPr>
            <w:tcW w:type="dxa" w:w="22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Документ найден и доступен</w:t>
            </w:r>
          </w:p>
        </w:tc>
        <w:tc>
          <w:tcPr>
            <w:tcW w:type="dxa" w:w="15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Ссылка / номер</w:t>
            </w:r>
          </w:p>
        </w:tc>
        <w:tc>
          <w:tcPr>
            <w:tcW w:type="dxa" w:w="99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17"/>
              </w:rPr>
              <w:t>[время]</w:t>
            </w:r>
          </w:p>
        </w:tc>
      </w:tr>
    </w:tbl>
    <w:p>
      <w:pPr>
        <w:pStyle w:val="Heading1"/>
      </w:pPr>
      <w:r>
        <w:t>Нештатные сценарии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Нет мобильной связи у водителя: заранее сохранен или распечатан QR-код.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Ошибка в данных до подписания: черновик исправлен и повторно проверен.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Смена водителя или транспортного средства: проверен предусмотренный оператором сценарий.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Недоступен оператор: зафиксированы время, сообщение об ошибке и канал эскалации.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Контрагент не видит документ: проверены идентификаторы, оператор и роуминг.</w:t>
            </w:r>
          </w:p>
        </w:tc>
      </w:tr>
    </w:tbl>
    <w:p>
      <w:pPr>
        <w:pStyle w:val="Heading1"/>
      </w:pPr>
      <w:r>
        <w:t>Критерии приемки пилота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00"/>
        <w:gridCol w:w="8760"/>
      </w:tblGrid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Все обязательные этапы завершены без ручного обхода юридически значимого процесса.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Каждый участник видит актуальный статус документа.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QR-код доступен водителю и пригоден для предъявления.</w:t>
            </w:r>
          </w:p>
        </w:tc>
      </w:tr>
      <w:tr>
        <w:trPr>
          <w:cantSplit w:val="true"/>
        </w:trPr>
        <w:tc>
          <w:tcPr>
            <w:tcW w:type="dxa" w:w="60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shd w:fill="F8F5ED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Документ доступен бухгалтерии и помещен в установленный архив.</w:t>
            </w:r>
          </w:p>
        </w:tc>
      </w:tr>
      <w:tr>
        <w:trPr>
          <w:cantSplit w:val="true"/>
        </w:trPr>
        <w:tc>
          <w:tcPr>
            <w:tcW w:type="dxa" w:w="60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center"/>
            </w:pPr>
            <w:r/>
            <w:r>
              <w:rPr>
                <w:rFonts w:ascii="Calibri" w:hAnsi="Calibri" w:eastAsia="Calibri"/>
                <w:b w:val="0"/>
                <w:color w:val="262F23"/>
                <w:sz w:val="26"/>
              </w:rPr>
              <w:t>☐</w:t>
            </w:r>
          </w:p>
        </w:tc>
        <w:tc>
          <w:tcPr>
            <w:tcW w:type="dxa" w:w="87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262F23"/>
                <w:sz w:val="20"/>
              </w:rPr>
              <w:t>Блокеры, владельцы и сроки исправления занесены в протокол.</w:t>
            </w:r>
          </w:p>
        </w:tc>
      </w:tr>
    </w:tbl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2E9D8"/>
          </w:tcPr>
          <w:p>
            <w:pPr>
              <w:spacing w:before="0" w:after="0" w:line="276" w:lineRule="auto"/>
              <w:jc w:val="left"/>
            </w:pPr>
            <w:r/>
            <w:r>
              <w:rPr>
                <w:rFonts w:ascii="Calibri" w:hAnsi="Calibri" w:eastAsia="Calibri"/>
                <w:b w:val="0"/>
                <w:color w:val="555F52"/>
                <w:sz w:val="18"/>
              </w:rPr>
              <w:t>Важно: адаптируйте шаблон под договоры, роли и локальные акты вашей организации. Материал не является юридической консультацией.</w:t>
            </w:r>
          </w:p>
        </w:tc>
      </w:tr>
    </w:tbl>
    <w:sectPr>
      <w:headerReference w:type="default" r:id="rId9"/>
      <w:footerReference w:type="default" r:id="rId10"/>
      <w:pgSz w:w="12240" w:h="15840"/>
      <w:pgMar w:top="1123" w:right="1440" w:bottom="1123" w:left="1440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360"/>
      <w:jc w:val="left"/>
      <w:tblLayout w:type="fixed"/>
      <w:tblLook w:firstColumn="1" w:firstRow="1" w:lastColumn="0" w:lastRow="0" w:noHBand="0" w:noVBand="1" w:val="04A0"/>
      <w:tblInd w:w="120" w:type="dxa"/>
    </w:tblPr>
    <w:tblGrid>
      <w:gridCol w:w="6200"/>
      <w:gridCol w:w="3160"/>
    </w:tblGrid>
    <w:tr>
      <w:tc>
        <w:tcPr>
          <w:tcW w:type="dxa" w:w="620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spacing w:before="0" w:after="0" w:line="276" w:lineRule="auto"/>
            <w:jc w:val="left"/>
          </w:pPr>
          <w:r/>
          <w:r>
            <w:rPr>
              <w:rFonts w:ascii="Calibri" w:hAnsi="Calibri" w:eastAsia="Calibri"/>
              <w:b w:val="0"/>
              <w:color w:val="555F52"/>
              <w:sz w:val="16"/>
            </w:rPr>
            <w:t>epdcheck.ru  |  Актуально на 18.07.2026</w:t>
          </w:r>
        </w:p>
      </w:tc>
      <w:tc>
        <w:tcPr>
          <w:tcW w:type="dxa" w:w="3160"/>
          <w:vAlign w:val="center"/>
          <w:tcMar>
            <w:top w:w="100" w:type="dxa"/>
            <w:start w:w="120" w:type="dxa"/>
            <w:bottom w:w="100" w:type="dxa"/>
            <w:end w:w="120" w:type="dxa"/>
          </w:tcMar>
        </w:tcPr>
        <w:p>
          <w:pPr>
            <w:jc w:val="right"/>
          </w:pPr>
          <w:r>
            <w:rPr>
              <w:rFonts w:ascii="Calibri" w:hAnsi="Calibri" w:eastAsia="Calibri"/>
              <w:color w:val="555F52"/>
              <w:sz w:val="17"/>
            </w:rPr>
            <w:t xml:space="preserve">Страница </w:t>
          </w:r>
          <w:r>
            <w:rPr>
              <w:rFonts w:ascii="Calibri" w:hAnsi="Calibri" w:eastAsia="Calibri"/>
              <w:color w:val="555F52"/>
              <w:sz w:val="17"/>
            </w:rP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 w:eastAsia="Calibri"/>
        <w:b/>
        <w:color w:val="555F52"/>
        <w:sz w:val="17"/>
      </w:rPr>
      <w:t>ЭПД Чек  |  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262F2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4B572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4B572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262F2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тестового рейса ЭПД</dc:title>
  <dc:subject>Шаблон для подготовки к переходу на электронные перевозочные документы</dc:subject>
  <dc:creator/>
  <cp:keywords>ЭПД, ЭТрН, ГИС ЭПД, шаблон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