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120"/>
      </w:pPr>
      <w:r>
        <w:rPr>
          <w:rFonts w:ascii="Calibri" w:hAnsi="Calibri" w:eastAsia="Calibri"/>
          <w:b/>
          <w:color w:val="4B572D"/>
          <w:sz w:val="18"/>
        </w:rPr>
        <w:t>ЛОКАЛЬНЫЙ АКТ</w:t>
      </w:r>
    </w:p>
    <w:p>
      <w:pPr>
        <w:keepNext/>
        <w:spacing w:before="0" w:after="160"/>
      </w:pPr>
      <w:r>
        <w:rPr>
          <w:rFonts w:ascii="Calibri" w:hAnsi="Calibri" w:eastAsia="Calibri"/>
          <w:b/>
          <w:color w:val="262F23"/>
          <w:sz w:val="52"/>
        </w:rPr>
        <w:t>Приказ о переходе на электронные перевозочные документы</w:t>
      </w:r>
    </w:p>
    <w:p>
      <w:pPr>
        <w:spacing w:before="0" w:after="360"/>
      </w:pPr>
      <w:r>
        <w:rPr>
          <w:rFonts w:ascii="Calibri" w:hAnsi="Calibri" w:eastAsia="Calibri"/>
          <w:color w:val="555F52"/>
          <w:sz w:val="25"/>
        </w:rPr>
        <w:t>Редактируемый шаблон для организации или ИП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jc w:val="left"/>
        <w:tblInd w:w="120" w:type="dxa"/>
      </w:tblPr>
      <w:tblGrid>
        <w:gridCol w:w="2700"/>
        <w:gridCol w:w="6660"/>
      </w:tblGrid>
      <w:tr>
        <w:trPr>
          <w:tblHeader w:val="true"/>
          <w:cantSplit w:val="true"/>
        </w:trPr>
        <w:tc>
          <w:tcPr>
            <w:tcW w:type="dxa" w:w="2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Поле</w:t>
            </w:r>
          </w:p>
        </w:tc>
        <w:tc>
          <w:tcPr>
            <w:tcW w:type="dxa" w:w="66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Заполните перед использованием</w:t>
            </w:r>
          </w:p>
        </w:tc>
      </w:tr>
      <w:tr>
        <w:trPr>
          <w:cantSplit w:val="true"/>
        </w:trPr>
        <w:tc>
          <w:tcPr>
            <w:tcW w:type="dxa" w:w="2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Организация</w:t>
            </w:r>
          </w:p>
        </w:tc>
        <w:tc>
          <w:tcPr>
            <w:tcW w:type="dxa" w:w="66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[Полное наименование]</w:t>
            </w:r>
          </w:p>
        </w:tc>
      </w:tr>
      <w:tr>
        <w:trPr>
          <w:cantSplit w:val="true"/>
        </w:trPr>
        <w:tc>
          <w:tcPr>
            <w:tcW w:type="dxa" w:w="27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Номер и дата приказа</w:t>
            </w:r>
          </w:p>
        </w:tc>
        <w:tc>
          <w:tcPr>
            <w:tcW w:type="dxa" w:w="66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№ [номер] от [дата]</w:t>
            </w:r>
          </w:p>
        </w:tc>
      </w:tr>
      <w:tr>
        <w:trPr>
          <w:cantSplit w:val="true"/>
        </w:trPr>
        <w:tc>
          <w:tcPr>
            <w:tcW w:type="dxa" w:w="2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Город</w:t>
            </w:r>
          </w:p>
        </w:tc>
        <w:tc>
          <w:tcPr>
            <w:tcW w:type="dxa" w:w="66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[город]</w:t>
            </w:r>
          </w:p>
        </w:tc>
      </w:tr>
      <w:tr>
        <w:trPr>
          <w:cantSplit w:val="true"/>
        </w:trPr>
        <w:tc>
          <w:tcPr>
            <w:tcW w:type="dxa" w:w="27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Дата промышленного запуска</w:t>
            </w:r>
          </w:p>
        </w:tc>
        <w:tc>
          <w:tcPr>
            <w:tcW w:type="dxa" w:w="66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[дата, не позднее 01.09.2026]</w:t>
            </w:r>
          </w:p>
        </w:tc>
      </w:tr>
    </w:tbl>
    <w:p>
      <w:pPr>
        <w:pStyle w:val="Heading1"/>
      </w:pPr>
      <w:r>
        <w:t>Основание и цель</w:t>
      </w:r>
    </w:p>
    <w:p>
      <w:r>
        <w:rPr>
          <w:rFonts w:ascii="Calibri" w:hAnsi="Calibri" w:eastAsia="Calibri"/>
          <w:color w:val="262F23"/>
          <w:sz w:val="22"/>
        </w:rPr>
        <w:t>В целях подготовки к обязательному электронному оформлению перевозочных документов, организации устойчивого обмена через оператора ИС ЭПД и проверки готовности участников перевозочного процесса приказываю: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jc w:val="left"/>
        <w:tblInd w:w="120" w:type="dxa"/>
      </w:tblPr>
      <w:tblGrid>
        <w:gridCol w:w="650"/>
        <w:gridCol w:w="8710"/>
      </w:tblGrid>
      <w:tr>
        <w:trPr>
          <w:tblHeader w:val="true"/>
          <w:cantSplit w:val="true"/>
        </w:trPr>
        <w:tc>
          <w:tcPr>
            <w:tcW w:type="dxa" w:w="65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№</w:t>
            </w:r>
          </w:p>
        </w:tc>
        <w:tc>
          <w:tcPr>
            <w:tcW w:type="dxa" w:w="871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Поручение</w:t>
            </w:r>
          </w:p>
        </w:tc>
      </w:tr>
      <w:tr>
        <w:trPr>
          <w:cantSplit w:val="true"/>
        </w:trPr>
        <w:tc>
          <w:tcPr>
            <w:tcW w:type="dxa" w:w="65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1</w:t>
            </w:r>
          </w:p>
        </w:tc>
        <w:tc>
          <w:tcPr>
            <w:tcW w:type="dxa" w:w="871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Назначить руководителем проекта перехода на ЭПД [должность, ФИО].</w:t>
            </w:r>
          </w:p>
        </w:tc>
      </w:tr>
      <w:tr>
        <w:trPr>
          <w:cantSplit w:val="true"/>
        </w:trPr>
        <w:tc>
          <w:tcPr>
            <w:tcW w:type="dxa" w:w="65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2</w:t>
            </w:r>
          </w:p>
        </w:tc>
        <w:tc>
          <w:tcPr>
            <w:tcW w:type="dxa" w:w="871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До [дата] утвердить перечень применяемых перевозочных и экспедиторских документов, ролей и типовых маршрутов.</w:t>
            </w:r>
          </w:p>
        </w:tc>
      </w:tr>
      <w:tr>
        <w:trPr>
          <w:cantSplit w:val="true"/>
        </w:trPr>
        <w:tc>
          <w:tcPr>
            <w:tcW w:type="dxa" w:w="65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3</w:t>
            </w:r>
          </w:p>
        </w:tc>
        <w:tc>
          <w:tcPr>
            <w:tcW w:type="dxa" w:w="871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До [дата] выбрать оператора ИС ЭПД из действующего реестра Минтранса и согласовать способ работы: веб, 1С или API.</w:t>
            </w:r>
          </w:p>
        </w:tc>
      </w:tr>
      <w:tr>
        <w:trPr>
          <w:cantSplit w:val="true"/>
        </w:trPr>
        <w:tc>
          <w:tcPr>
            <w:tcW w:type="dxa" w:w="65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4</w:t>
            </w:r>
          </w:p>
        </w:tc>
        <w:tc>
          <w:tcPr>
            <w:tcW w:type="dxa" w:w="871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До [дата] проверить КЭП руководителя и сотрудников, оформить необходимые МЧД и назначить резервных подписантов.</w:t>
            </w:r>
          </w:p>
        </w:tc>
      </w:tr>
      <w:tr>
        <w:trPr>
          <w:cantSplit w:val="true"/>
        </w:trPr>
        <w:tc>
          <w:tcPr>
            <w:tcW w:type="dxa" w:w="65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5</w:t>
            </w:r>
          </w:p>
        </w:tc>
        <w:tc>
          <w:tcPr>
            <w:tcW w:type="dxa" w:w="871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До [дата] подготовить справочники контрагентов, транспорта, водителей, подразделений и адресов погрузки/выгрузки.</w:t>
            </w:r>
          </w:p>
        </w:tc>
      </w:tr>
      <w:tr>
        <w:trPr>
          <w:cantSplit w:val="true"/>
        </w:trPr>
        <w:tc>
          <w:tcPr>
            <w:tcW w:type="dxa" w:w="65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6</w:t>
            </w:r>
          </w:p>
        </w:tc>
        <w:tc>
          <w:tcPr>
            <w:tcW w:type="dxa" w:w="871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Провести не менее одного полного тестового рейса по утвержденному сценарию с созданием, подписанием, передачей и завершением ЭПД.</w:t>
            </w:r>
          </w:p>
        </w:tc>
      </w:tr>
      <w:tr>
        <w:trPr>
          <w:cantSplit w:val="true"/>
        </w:trPr>
        <w:tc>
          <w:tcPr>
            <w:tcW w:type="dxa" w:w="65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7</w:t>
            </w:r>
          </w:p>
        </w:tc>
        <w:tc>
          <w:tcPr>
            <w:tcW w:type="dxa" w:w="871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Утвердить порядок действий при отсутствии связи, недоступности оператора и необходимости исправления сведений.</w:t>
            </w:r>
          </w:p>
        </w:tc>
      </w:tr>
      <w:tr>
        <w:trPr>
          <w:cantSplit w:val="true"/>
        </w:trPr>
        <w:tc>
          <w:tcPr>
            <w:tcW w:type="dxa" w:w="65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8</w:t>
            </w:r>
          </w:p>
        </w:tc>
        <w:tc>
          <w:tcPr>
            <w:tcW w:type="dxa" w:w="871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Организовать обучение сотрудников и выдать водителям инструкцию по предъявлению QR-кода.</w:t>
            </w:r>
          </w:p>
        </w:tc>
      </w:tr>
      <w:tr>
        <w:trPr>
          <w:cantSplit w:val="true"/>
        </w:trPr>
        <w:tc>
          <w:tcPr>
            <w:tcW w:type="dxa" w:w="65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9</w:t>
            </w:r>
          </w:p>
        </w:tc>
        <w:tc>
          <w:tcPr>
            <w:tcW w:type="dxa" w:w="871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Бухгалтерии проверить получение юридически значимых документов, архив, сверку и отражение первичных документов в учете.</w:t>
            </w:r>
          </w:p>
        </w:tc>
      </w:tr>
      <w:tr>
        <w:trPr>
          <w:cantSplit w:val="true"/>
        </w:trPr>
        <w:tc>
          <w:tcPr>
            <w:tcW w:type="dxa" w:w="65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10</w:t>
            </w:r>
          </w:p>
        </w:tc>
        <w:tc>
          <w:tcPr>
            <w:tcW w:type="dxa" w:w="871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Контроль исполнения настоящего приказа оставляю за [должность, ФИО].</w:t>
            </w:r>
          </w:p>
        </w:tc>
      </w:tr>
    </w:tbl>
    <w:p>
      <w:pPr>
        <w:pStyle w:val="Heading1"/>
      </w:pPr>
      <w:r>
        <w:t>Ответственные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jc w:val="left"/>
        <w:tblInd w:w="120" w:type="dxa"/>
      </w:tblPr>
      <w:tblGrid>
        <w:gridCol w:w="2600"/>
        <w:gridCol w:w="2500"/>
        <w:gridCol w:w="1900"/>
        <w:gridCol w:w="2360"/>
      </w:tblGrid>
      <w:tr>
        <w:trPr>
          <w:tblHeader w:val="true"/>
          <w:cantSplit w:val="true"/>
        </w:trPr>
        <w:tc>
          <w:tcPr>
            <w:tcW w:type="dxa" w:w="2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Направление</w:t>
            </w:r>
          </w:p>
        </w:tc>
        <w:tc>
          <w:tcPr>
            <w:tcW w:type="dxa" w:w="25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Ответственный</w:t>
            </w:r>
          </w:p>
        </w:tc>
        <w:tc>
          <w:tcPr>
            <w:tcW w:type="dxa" w:w="1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Срок</w:t>
            </w:r>
          </w:p>
        </w:tc>
        <w:tc>
          <w:tcPr>
            <w:tcW w:type="dxa" w:w="23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Отметка</w:t>
            </w:r>
          </w:p>
        </w:tc>
      </w:tr>
      <w:tr>
        <w:trPr>
          <w:cantSplit w:val="true"/>
        </w:trPr>
        <w:tc>
          <w:tcPr>
            <w:tcW w:type="dxa" w:w="2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Оператор и договор</w:t>
            </w:r>
          </w:p>
        </w:tc>
        <w:tc>
          <w:tcPr>
            <w:tcW w:type="dxa" w:w="25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[ФИО]</w:t>
            </w:r>
          </w:p>
        </w:tc>
        <w:tc>
          <w:tcPr>
            <w:tcW w:type="dxa" w:w="1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[дата]</w:t>
            </w:r>
          </w:p>
        </w:tc>
        <w:tc>
          <w:tcPr>
            <w:tcW w:type="dxa" w:w="23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[статус]</w:t>
            </w:r>
          </w:p>
        </w:tc>
      </w:tr>
      <w:tr>
        <w:trPr>
          <w:cantSplit w:val="true"/>
        </w:trPr>
        <w:tc>
          <w:tcPr>
            <w:tcW w:type="dxa" w:w="2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КЭП и МЧД</w:t>
            </w:r>
          </w:p>
        </w:tc>
        <w:tc>
          <w:tcPr>
            <w:tcW w:type="dxa" w:w="25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[ФИО]</w:t>
            </w:r>
          </w:p>
        </w:tc>
        <w:tc>
          <w:tcPr>
            <w:tcW w:type="dxa" w:w="19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[дата]</w:t>
            </w:r>
          </w:p>
        </w:tc>
        <w:tc>
          <w:tcPr>
            <w:tcW w:type="dxa" w:w="23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[статус]</w:t>
            </w:r>
          </w:p>
        </w:tc>
      </w:tr>
      <w:tr>
        <w:trPr>
          <w:cantSplit w:val="true"/>
        </w:trPr>
        <w:tc>
          <w:tcPr>
            <w:tcW w:type="dxa" w:w="2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1С / API / веб</w:t>
            </w:r>
          </w:p>
        </w:tc>
        <w:tc>
          <w:tcPr>
            <w:tcW w:type="dxa" w:w="25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[ФИО]</w:t>
            </w:r>
          </w:p>
        </w:tc>
        <w:tc>
          <w:tcPr>
            <w:tcW w:type="dxa" w:w="1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[дата]</w:t>
            </w:r>
          </w:p>
        </w:tc>
        <w:tc>
          <w:tcPr>
            <w:tcW w:type="dxa" w:w="23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[статус]</w:t>
            </w:r>
          </w:p>
        </w:tc>
      </w:tr>
      <w:tr>
        <w:trPr>
          <w:cantSplit w:val="true"/>
        </w:trPr>
        <w:tc>
          <w:tcPr>
            <w:tcW w:type="dxa" w:w="2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Пилот и обучение</w:t>
            </w:r>
          </w:p>
        </w:tc>
        <w:tc>
          <w:tcPr>
            <w:tcW w:type="dxa" w:w="25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[ФИО]</w:t>
            </w:r>
          </w:p>
        </w:tc>
        <w:tc>
          <w:tcPr>
            <w:tcW w:type="dxa" w:w="19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[дата]</w:t>
            </w:r>
          </w:p>
        </w:tc>
        <w:tc>
          <w:tcPr>
            <w:tcW w:type="dxa" w:w="23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[статус]</w:t>
            </w:r>
          </w:p>
        </w:tc>
      </w:tr>
    </w:tbl>
    <w:p>
      <w:pPr>
        <w:pStyle w:val="Heading1"/>
      </w:pPr>
      <w:r>
        <w:t>Подпись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jc w:val="left"/>
        <w:tblInd w:w="120" w:type="dxa"/>
      </w:tblPr>
      <w:tblGrid>
        <w:gridCol w:w="2200"/>
        <w:gridCol w:w="1900"/>
        <w:gridCol w:w="3160"/>
        <w:gridCol w:w="2100"/>
      </w:tblGrid>
      <w:tr>
        <w:trPr>
          <w:tblHeader w:val="true"/>
          <w:cantSplit w:val="true"/>
        </w:trPr>
        <w:tc>
          <w:tcPr>
            <w:tcW w:type="dxa" w:w="2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Руководитель</w:t>
            </w:r>
          </w:p>
        </w:tc>
        <w:tc>
          <w:tcPr>
            <w:tcW w:type="dxa" w:w="1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Подпись</w:t>
            </w:r>
          </w:p>
        </w:tc>
        <w:tc>
          <w:tcPr>
            <w:tcW w:type="dxa" w:w="31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Расшифровка</w:t>
            </w:r>
          </w:p>
        </w:tc>
        <w:tc>
          <w:tcPr>
            <w:tcW w:type="dxa" w:w="21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Дата</w:t>
            </w:r>
          </w:p>
        </w:tc>
      </w:tr>
      <w:tr>
        <w:trPr>
          <w:cantSplit w:val="true"/>
        </w:trPr>
        <w:tc>
          <w:tcPr>
            <w:tcW w:type="dxa" w:w="2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[должность]</w:t>
            </w:r>
          </w:p>
        </w:tc>
        <w:tc>
          <w:tcPr>
            <w:tcW w:type="dxa" w:w="19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____________</w:t>
            </w:r>
          </w:p>
        </w:tc>
        <w:tc>
          <w:tcPr>
            <w:tcW w:type="dxa" w:w="31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[ФИО]</w:t>
            </w:r>
          </w:p>
        </w:tc>
        <w:tc>
          <w:tcPr>
            <w:tcW w:type="dxa" w:w="21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[дата]</w:t>
            </w:r>
          </w:p>
        </w:tc>
      </w:tr>
    </w:tbl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9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555F52"/>
                <w:sz w:val="18"/>
              </w:rPr>
              <w:t>Важно: адаптируйте шаблон под договоры, роли и локальные акты вашей организации. Материал не является юридической консультацией.</w:t>
            </w:r>
          </w:p>
        </w:tc>
      </w:tr>
    </w:tbl>
    <w:sectPr>
      <w:headerReference w:type="default" r:id="rId9"/>
      <w:footerReference w:type="default" r:id="rId10"/>
      <w:pgSz w:w="12240" w:h="15840"/>
      <w:pgMar w:top="1123" w:right="1440" w:bottom="1123" w:left="1440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dxa" w:w="9360"/>
      <w:jc w:val="left"/>
      <w:tblLayout w:type="fixed"/>
      <w:tblLook w:firstColumn="1" w:firstRow="1" w:lastColumn="0" w:lastRow="0" w:noHBand="0" w:noVBand="1" w:val="04A0"/>
      <w:tblInd w:w="120" w:type="dxa"/>
    </w:tblPr>
    <w:tblGrid>
      <w:gridCol w:w="6200"/>
      <w:gridCol w:w="3160"/>
    </w:tblGrid>
    <w:tr>
      <w:tc>
        <w:tcPr>
          <w:tcW w:type="dxa" w:w="6200"/>
          <w:vAlign w:val="center"/>
          <w:tcMar>
            <w:top w:w="100" w:type="dxa"/>
            <w:start w:w="120" w:type="dxa"/>
            <w:bottom w:w="100" w:type="dxa"/>
            <w:end w:w="120" w:type="dxa"/>
          </w:tcMar>
        </w:tcPr>
        <w:p>
          <w:pPr>
            <w:spacing w:before="0" w:after="0" w:line="276" w:lineRule="auto"/>
            <w:jc w:val="left"/>
          </w:pPr>
          <w:r/>
          <w:r>
            <w:rPr>
              <w:rFonts w:ascii="Calibri" w:hAnsi="Calibri" w:eastAsia="Calibri"/>
              <w:b w:val="0"/>
              <w:color w:val="555F52"/>
              <w:sz w:val="16"/>
            </w:rPr>
            <w:t>epdcheck.ru  |  Актуально на 18.07.2026</w:t>
          </w:r>
        </w:p>
      </w:tc>
      <w:tc>
        <w:tcPr>
          <w:tcW w:type="dxa" w:w="3160"/>
          <w:vAlign w:val="center"/>
          <w:tcMar>
            <w:top w:w="100" w:type="dxa"/>
            <w:start w:w="120" w:type="dxa"/>
            <w:bottom w:w="100" w:type="dxa"/>
            <w:end w:w="120" w:type="dxa"/>
          </w:tcMar>
        </w:tcPr>
        <w:p>
          <w:pPr>
            <w:jc w:val="right"/>
          </w:pPr>
          <w:r>
            <w:rPr>
              <w:rFonts w:ascii="Calibri" w:hAnsi="Calibri" w:eastAsia="Calibri"/>
              <w:color w:val="555F52"/>
              <w:sz w:val="17"/>
            </w:rPr>
            <w:t xml:space="preserve">Страница </w:t>
          </w:r>
          <w:r>
            <w:rPr>
              <w:rFonts w:ascii="Calibri" w:hAnsi="Calibri" w:eastAsia="Calibri"/>
              <w:color w:val="555F52"/>
              <w:sz w:val="17"/>
            </w:rP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Calibri" w:hAnsi="Calibri" w:eastAsia="Calibri"/>
        <w:b/>
        <w:color w:val="555F52"/>
        <w:sz w:val="17"/>
      </w:rPr>
      <w:t>ЭПД Чек  |  Рабочий шаблон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</w:pPr>
    <w:rPr>
      <w:rFonts w:ascii="Calibri" w:hAnsi="Calibri"/>
      <w:color w:val="262F2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4B572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4B572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262F2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переходе на ЭПД</dc:title>
  <dc:subject>Шаблон для подготовки к переходу на электронные перевозочные документы</dc:subject>
  <dc:creator/>
  <cp:keywords>ЭПД, ЭТрН, ГИС ЭПД, шаблон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